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B8F7E" w14:textId="518B6D76" w:rsidR="00FF5049" w:rsidRPr="00FE05E6" w:rsidRDefault="00FF5049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tbl>
      <w:tblPr>
        <w:tblStyle w:val="TableNormal"/>
        <w:tblW w:w="102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7355"/>
      </w:tblGrid>
      <w:tr w:rsidR="00FF5049" w:rsidRPr="00FE05E6" w14:paraId="0A4821AC" w14:textId="77777777" w:rsidTr="009A071E">
        <w:trPr>
          <w:trHeight w:val="2336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B8CE" w14:textId="77777777" w:rsidR="00FF5049" w:rsidRPr="00FE05E6" w:rsidRDefault="000D6EB3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uk-UA" w:eastAsia="uk-UA"/>
              </w:rPr>
              <w:drawing>
                <wp:inline distT="0" distB="0" distL="0" distR="0" wp14:anchorId="58EFF3E1" wp14:editId="086BDCED">
                  <wp:extent cx="1625203" cy="1485900"/>
                  <wp:effectExtent l="0" t="0" r="0" b="0"/>
                  <wp:docPr id="7" name="Рисунок 7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A7D1E" w14:textId="77777777" w:rsidR="00FF5049" w:rsidRPr="00FE05E6" w:rsidRDefault="00B34770" w:rsidP="0052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Силабус навчальної дисципліни</w:t>
            </w:r>
          </w:p>
          <w:p w14:paraId="223ED047" w14:textId="38D202C7" w:rsidR="00FF5049" w:rsidRPr="00FE05E6" w:rsidRDefault="00A5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«УПРАВЛІННЯ РИЗИКАМИ В ІННОВАЦІЙНІЙ ДІЯЛЬНОСТІ »</w:t>
            </w:r>
          </w:p>
          <w:p w14:paraId="5EC8E83E" w14:textId="77777777" w:rsidR="00FF5049" w:rsidRPr="00FE05E6" w:rsidRDefault="00FF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C82720E" w14:textId="1FDA4DDA" w:rsidR="00521828" w:rsidRPr="00FE05E6" w:rsidRDefault="00521828" w:rsidP="0052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Освітньо-професійної програми «</w:t>
            </w:r>
            <w:r w:rsidR="00FC4A0B"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інноваційної діяльності</w:t>
            </w: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135E73A2" w14:textId="77777777" w:rsidR="0071792C" w:rsidRPr="00FE05E6" w:rsidRDefault="0071792C" w:rsidP="0071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986BA96" w14:textId="77777777" w:rsidR="00FF5049" w:rsidRPr="00FE05E6" w:rsidRDefault="0071792C" w:rsidP="0071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Галузь знань: </w:t>
            </w: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07 </w:t>
            </w:r>
            <w:r w:rsidR="00521828"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«</w:t>
            </w: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Управління та адміністрування</w:t>
            </w:r>
            <w:r w:rsidR="00521828"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»</w:t>
            </w:r>
          </w:p>
          <w:p w14:paraId="30B0D0D4" w14:textId="77777777" w:rsidR="00521828" w:rsidRPr="00FE05E6" w:rsidRDefault="00521828" w:rsidP="0071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073 «Менеджмент»</w:t>
            </w:r>
          </w:p>
        </w:tc>
      </w:tr>
      <w:tr w:rsidR="00FF5049" w:rsidRPr="00FE05E6" w14:paraId="12242A38" w14:textId="77777777" w:rsidTr="009A071E">
        <w:trPr>
          <w:trHeight w:hRule="exact" w:val="992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6FFF" w14:textId="77777777" w:rsidR="00FF5049" w:rsidRPr="00FE05E6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  <w:p w14:paraId="1F153912" w14:textId="77777777" w:rsidR="00521828" w:rsidRPr="00FE05E6" w:rsidRDefault="005218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(перший (бакалаврський), другий (магістерський)</w:t>
            </w:r>
          </w:p>
          <w:p w14:paraId="0C3B1A32" w14:textId="77777777" w:rsidR="00521828" w:rsidRPr="00FE05E6" w:rsidRDefault="0052182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5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9B8C" w14:textId="77777777" w:rsidR="00FF5049" w:rsidRPr="00FE05E6" w:rsidRDefault="001917AF" w:rsidP="00B3180F">
            <w:pPr>
              <w:tabs>
                <w:tab w:val="left" w:pos="-27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FF5049" w:rsidRPr="00FE05E6" w14:paraId="5C3E07BC" w14:textId="77777777" w:rsidTr="009A071E">
        <w:trPr>
          <w:trHeight w:hRule="exact" w:val="483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7073" w14:textId="77777777" w:rsidR="00FF5049" w:rsidRPr="00FE05E6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B7E7" w14:textId="3F3E8920" w:rsidR="00FF5049" w:rsidRPr="00FE05E6" w:rsidRDefault="00521828" w:rsidP="00B3180F">
            <w:pPr>
              <w:tabs>
                <w:tab w:val="left" w:pos="-27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Навчальна дисципліна</w:t>
            </w:r>
            <w:r w:rsidR="000008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циклу</w:t>
            </w:r>
            <w:bookmarkStart w:id="0" w:name="_GoBack"/>
            <w:bookmarkEnd w:id="0"/>
            <w:r w:rsidRPr="00FE0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 </w:t>
            </w:r>
            <w:r w:rsidR="009A07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вільного вибору студента</w:t>
            </w:r>
          </w:p>
        </w:tc>
      </w:tr>
      <w:tr w:rsidR="00521828" w:rsidRPr="00FE05E6" w14:paraId="5268422A" w14:textId="77777777" w:rsidTr="009A071E">
        <w:trPr>
          <w:trHeight w:hRule="exact" w:val="349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A9F0" w14:textId="77777777" w:rsidR="00521828" w:rsidRPr="00FE05E6" w:rsidRDefault="00521828" w:rsidP="00521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3295" w14:textId="77777777" w:rsidR="00521828" w:rsidRPr="00FE05E6" w:rsidRDefault="00521828" w:rsidP="00B3180F">
            <w:pPr>
              <w:tabs>
                <w:tab w:val="left" w:pos="-27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</w:pPr>
            <w:r w:rsidRPr="00FE0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1</w:t>
            </w:r>
          </w:p>
        </w:tc>
      </w:tr>
      <w:tr w:rsidR="00FF5049" w:rsidRPr="00FE05E6" w14:paraId="58998870" w14:textId="77777777" w:rsidTr="009A071E">
        <w:trPr>
          <w:trHeight w:hRule="exact" w:val="39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1C67" w14:textId="77777777" w:rsidR="00FF5049" w:rsidRPr="00FE05E6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5869" w14:textId="22741216" w:rsidR="00FF5049" w:rsidRPr="00FE05E6" w:rsidRDefault="00FC4A0B" w:rsidP="00B3180F">
            <w:pPr>
              <w:tabs>
                <w:tab w:val="left" w:pos="-27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F13FF3"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FF5049" w:rsidRPr="00FE05E6" w14:paraId="30D35C21" w14:textId="77777777" w:rsidTr="009A071E">
        <w:trPr>
          <w:trHeight w:hRule="exact" w:val="731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17CB" w14:textId="77777777" w:rsidR="00521828" w:rsidRPr="00FE05E6" w:rsidRDefault="00521828" w:rsidP="00521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</w:pPr>
            <w:r w:rsidRPr="00FE05E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Обсяг дисципліни, </w:t>
            </w:r>
          </w:p>
          <w:p w14:paraId="3EE177D3" w14:textId="77777777" w:rsidR="00FF5049" w:rsidRPr="00FE05E6" w:rsidRDefault="00521828" w:rsidP="0052182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кредити ЄКТС</w:t>
            </w:r>
            <w:r w:rsidRPr="00FE05E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</w:rPr>
              <w:t>/</w:t>
            </w:r>
            <w:r w:rsidRPr="00FE05E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години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B284" w14:textId="12C43D23" w:rsidR="00FF5049" w:rsidRPr="00FE05E6" w:rsidRDefault="00A5726D" w:rsidP="00B3180F">
            <w:pPr>
              <w:tabs>
                <w:tab w:val="left" w:pos="-27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="0064094C"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1917AF"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кредити ЄКТС /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120</w:t>
            </w:r>
            <w:r w:rsidR="001917AF"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FF5049" w:rsidRPr="00FE05E6" w14:paraId="28D19AC5" w14:textId="77777777" w:rsidTr="009A071E">
        <w:trPr>
          <w:trHeight w:hRule="exact" w:val="39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203A" w14:textId="77777777" w:rsidR="00FF5049" w:rsidRPr="00FE05E6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1A6E" w14:textId="46BFCA28" w:rsidR="00FF5049" w:rsidRPr="00FE05E6" w:rsidRDefault="00F21CF9" w:rsidP="00B3180F">
            <w:pPr>
              <w:tabs>
                <w:tab w:val="left" w:pos="-27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</w:t>
            </w:r>
            <w:r w:rsidR="001917AF"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країнська</w:t>
            </w:r>
          </w:p>
        </w:tc>
      </w:tr>
      <w:tr w:rsidR="00FF5049" w:rsidRPr="00FE05E6" w14:paraId="122D00BF" w14:textId="77777777" w:rsidTr="009A071E">
        <w:trPr>
          <w:trHeight w:hRule="exact" w:val="3402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42DF" w14:textId="77777777" w:rsidR="00FF5049" w:rsidRPr="00FE05E6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Що буде вивчатися (предмет </w:t>
            </w:r>
            <w:r w:rsidR="000D6EB3"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</w:t>
            </w: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ння)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2D8A" w14:textId="3DA70334" w:rsidR="0073312F" w:rsidRPr="00FE05E6" w:rsidRDefault="00BB4BCB" w:rsidP="00B3180F">
            <w:pPr>
              <w:tabs>
                <w:tab w:val="left" w:pos="-27"/>
              </w:tabs>
              <w:spacing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Теоретичні, методичні</w:t>
            </w:r>
            <w:r w:rsidR="001476F5"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="001476F5"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питанн</w:t>
            </w:r>
            <w:r w:rsidR="0064094C"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DB1EC2"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75C0"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C575C0" w:rsidRPr="00FE0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управління </w:t>
            </w:r>
            <w:r w:rsidR="00A5726D" w:rsidRPr="00FE0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ризик-менеджменту в інноваційній діяльності, основні ризики та причинно-наслідкові зв’язки між ними, підходи якісного та кількісного аналізів інноваційних ризиків, елементи систем управління ризиками, враховуючи особливості інноваційних проектів та чинники зовнішнього середовища. </w:t>
            </w:r>
            <w:r w:rsidR="0073312F" w:rsidRPr="00FE0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Вивчення сутності, значення та видів ризиків інноваційної діяльності; основних прийомів і методів ризик-менеджменту проведення оцінки ризиків інноваційної діяльності підприємства; підприємства; вибір оптимальної стратегії інноваційної діяльності підприємства в умовах невизначеності. принципи керування ризиками, напрямки політики керування ризиками</w:t>
            </w:r>
          </w:p>
        </w:tc>
      </w:tr>
      <w:tr w:rsidR="009A071E" w:rsidRPr="00FE05E6" w14:paraId="04F57928" w14:textId="77777777" w:rsidTr="009A071E">
        <w:trPr>
          <w:trHeight w:hRule="exact" w:val="4458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0E04D" w14:textId="0A2DDAEB" w:rsidR="009A071E" w:rsidRPr="00FE05E6" w:rsidRDefault="009A071E" w:rsidP="000D6E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Чому це цікаво/потрібно вивчати (мета)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9D38C" w14:textId="1C341E0C" w:rsidR="009A071E" w:rsidRPr="00FE05E6" w:rsidRDefault="009A071E" w:rsidP="00B3180F">
            <w:pPr>
              <w:tabs>
                <w:tab w:val="left" w:pos="-27"/>
              </w:tabs>
              <w:spacing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у здобувачів освіти системи теоретичних знань та прикладних навичок з управління ризик-менеджменту в інноваційній діяльності, вплив та наслідки численних зовнішні них та внутрішніх  дестабілізуючих фактор-ризиків в інноваційній діяльності,. принципи та методи управління економічними ризиками в інноваційній діяльності підприємства Формування системи теоретичних знань щодо сутності управління ризиками інноваційної діяльності, організації та управління інноваційною діяльністю підприємства, а також інструментарієм, методикою проведення управлінського аналізу та оцінки ризику інноваційної діяльності підприємства та набуття практичних вмінь і навичок щодо методів оцінки ризиків інноваційної діяльності підприємства. Формування навичок щодо використання науково-практичних методів при аналізі ризиків інноваційної діяльності підприємства; розвиток аналітичного мислення при визначенні та оцінці ризиків в інноваційній діяльності підприємства і прийняття відповідних управлінських рішень;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знань, умінь та творчого підходу при проведенні управлінського аналізу та оцінки ризиків інноваційної діяльності</w:t>
            </w:r>
          </w:p>
        </w:tc>
      </w:tr>
      <w:tr w:rsidR="00FF5049" w:rsidRPr="00FE05E6" w14:paraId="5920D508" w14:textId="77777777" w:rsidTr="009A071E">
        <w:trPr>
          <w:trHeight w:hRule="exact" w:val="3214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2DA3" w14:textId="77777777" w:rsidR="00FF5049" w:rsidRPr="00FE05E6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Чому можна навчитися (результати навчання)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14:paraId="385CBF3A" w14:textId="7DBB654F" w:rsidR="00FF5049" w:rsidRPr="00FE05E6" w:rsidRDefault="00012236" w:rsidP="00B3180F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</w:t>
            </w:r>
            <w:r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розв’язувати </w:t>
            </w:r>
            <w:r w:rsidR="0073312F"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складні спеціалізовані задачі та проблеми менеджменту завдяки визначенню, в яких умовах функціонує підприємство; оцінювати границі ризику та оцінювати вплив ризику на інноваційну діяльність підприємства залежно від його виду; обирати підходи до управління економічним ризиком; вибирати оптимальну стратегію в умовах невизначеності та конфлікту; знаходити найбільш оптимальні шляхи зменшення невизначеності та ризику; -вимірювати ризик за допомогою коефіцієнта ризику; визначати найбільш вдалий метод виміру ризику в кожній конкретній ситуації та застосовувати їх на практиці; планувати інноваційну діяльність підприємства </w:t>
            </w:r>
            <w:r w:rsidR="0073312F" w:rsidRPr="00B3180F">
              <w:rPr>
                <w:rFonts w:ascii="Times New Roman" w:hAnsi="Times New Roman" w:cs="Times New Roman"/>
                <w:color w:val="auto"/>
                <w:lang w:val="uk-UA"/>
              </w:rPr>
              <w:t>з урахуванням економічного</w:t>
            </w:r>
            <w:r w:rsidR="0073312F"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ризику.</w:t>
            </w:r>
          </w:p>
        </w:tc>
      </w:tr>
      <w:tr w:rsidR="009A071E" w:rsidRPr="00FE05E6" w14:paraId="1C2376E0" w14:textId="77777777" w:rsidTr="00B3180F">
        <w:trPr>
          <w:trHeight w:hRule="exact" w:val="11404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DD809" w14:textId="2378CF3D" w:rsidR="009A071E" w:rsidRPr="00FE05E6" w:rsidRDefault="009A0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14:paraId="6CB30FA7" w14:textId="77777777" w:rsidR="009A071E" w:rsidRPr="00FE05E6" w:rsidRDefault="009A071E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Інтегральна компетентність (</w:t>
            </w:r>
            <w:proofErr w:type="spellStart"/>
            <w:r w:rsidRPr="00FE05E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ІК</w:t>
            </w:r>
            <w:proofErr w:type="spellEnd"/>
            <w:r w:rsidRPr="00FE05E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):</w:t>
            </w:r>
          </w:p>
          <w:p w14:paraId="2C6C7839" w14:textId="77777777" w:rsidR="009A071E" w:rsidRPr="00FE05E6" w:rsidRDefault="009A071E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розв’язувати складні задачі і проблеми щодо моделювання і оцінки інноваційного ризику в реальних умовах функціонування підприємства у сфері менеджменту; </w:t>
            </w:r>
          </w:p>
          <w:p w14:paraId="584CF49A" w14:textId="77777777" w:rsidR="009A071E" w:rsidRPr="00FE05E6" w:rsidRDefault="009A071E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проведення оцінювання ефективності інноваційної діяльності на відповідному рівні використовуючи способи і методи зниження ризику інноваційної діяльності підприємства </w:t>
            </w:r>
          </w:p>
          <w:p w14:paraId="1B50A63E" w14:textId="77777777" w:rsidR="009A071E" w:rsidRPr="00FE05E6" w:rsidRDefault="009A071E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Знання та розуміння предметної області, розуміння професійної діяльності, здатність застосовувати знання у практичних ситуаціях </w:t>
            </w:r>
            <w:r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урахуванням сучасних 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проблем та основних видів та причин виникнення інноваційних ризиків функціонування</w:t>
            </w:r>
            <w:r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підприємства. </w:t>
            </w:r>
          </w:p>
          <w:p w14:paraId="00065A64" w14:textId="77777777" w:rsidR="009A071E" w:rsidRPr="00FE05E6" w:rsidRDefault="009A071E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Загальні компетентності (</w:t>
            </w:r>
            <w:proofErr w:type="spellStart"/>
            <w:r w:rsidRPr="00FE05E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Pr="00FE05E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):</w:t>
            </w:r>
          </w:p>
          <w:p w14:paraId="0EC654D8" w14:textId="77777777" w:rsidR="009A071E" w:rsidRPr="00FE05E6" w:rsidRDefault="009A071E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ЗК1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Здатність застосовувати сучасні кількісний та якісний аналіз ризиків в інноваційній діяльності підприємства із врахуванням чинників та причин виникнення інноваційного ризику у сфері менеджменту.</w:t>
            </w:r>
          </w:p>
          <w:p w14:paraId="3DF71DDD" w14:textId="77777777" w:rsidR="009A071E" w:rsidRDefault="009A071E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ЗК4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Навички використання інформаційних та комунікаційних технологій щодо оцінювання границі ризику та оцінювання впливу ризику на інноваційну діяльність підприємства залежно від його виду;</w:t>
            </w:r>
          </w:p>
          <w:p w14:paraId="4C418EC3" w14:textId="77777777" w:rsidR="00B3180F" w:rsidRPr="00FE05E6" w:rsidRDefault="00B3180F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ЗК5.Здатність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генерувати нові ідеї(креативність)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  виборі оптимальної стратегії в умовах невизначеності та конфлікту; </w:t>
            </w:r>
          </w:p>
          <w:p w14:paraId="0A0EA2C3" w14:textId="77777777" w:rsidR="00B3180F" w:rsidRPr="00FE05E6" w:rsidRDefault="00B3180F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ЗК6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Здатність використовувати </w:t>
            </w: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професійнопрофільовані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знання й практичні навички з фундаментальних дисциплін в практичній інноваційній діяльності </w:t>
            </w:r>
            <w:r w:rsidRPr="00FE05E6">
              <w:rPr>
                <w:rFonts w:ascii="Times New Roman" w:hAnsi="Times New Roman" w:cs="Times New Roman"/>
                <w:lang w:val="uk-UA"/>
              </w:rPr>
              <w:t>знаходження найбільш оптимальних шляхів зменшення невизначеності та ризику;</w:t>
            </w:r>
          </w:p>
          <w:p w14:paraId="6E86D719" w14:textId="77777777" w:rsidR="00B3180F" w:rsidRPr="00FE05E6" w:rsidRDefault="00B3180F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ЗК7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Здатність застосовувати знання та розуміння для розв’язання проблем інноваційної діяльності господарюючого суб’єкта щодо  реалізації управлінських рішень при плануванні  інноваційній діяльність підприємства з урахуванням ризиків.</w:t>
            </w:r>
            <w:r w:rsidRPr="00FE05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45F6C621" w14:textId="77777777" w:rsidR="00B3180F" w:rsidRDefault="00B3180F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Інструментальні компетентності.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271BB6FB" w14:textId="77777777" w:rsidR="00B3180F" w:rsidRPr="00FE05E6" w:rsidRDefault="00B3180F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робити обґрунтований вибір </w:t>
            </w:r>
            <w:r w:rsidRPr="00FE05E6">
              <w:rPr>
                <w:rFonts w:ascii="Times New Roman" w:hAnsi="Times New Roman" w:cs="Times New Roman"/>
                <w:lang w:val="uk-UA"/>
              </w:rPr>
              <w:t xml:space="preserve"> оптимальної стратегії інноваційної діяльності підприємства в умовах невизначеності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Здатність робити обґрунтований вибір </w:t>
            </w:r>
            <w:r w:rsidRPr="00FE05E6">
              <w:rPr>
                <w:rFonts w:ascii="Times New Roman" w:hAnsi="Times New Roman" w:cs="Times New Roman"/>
                <w:lang w:val="uk-UA"/>
              </w:rPr>
              <w:t>при проведенні управлінського аналізу та оцінки ризиків інноваційної діяльності підприємства</w:t>
            </w:r>
          </w:p>
          <w:p w14:paraId="6D479099" w14:textId="77777777" w:rsidR="00B3180F" w:rsidRDefault="00B3180F" w:rsidP="00145D02">
            <w:pPr>
              <w:tabs>
                <w:tab w:val="left" w:pos="-202"/>
              </w:tabs>
              <w:spacing w:after="0" w:line="240" w:lineRule="auto"/>
              <w:ind w:left="-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Загально-професійні компетентності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</w:t>
            </w:r>
            <w:r w:rsidRPr="00FE05E6">
              <w:rPr>
                <w:rFonts w:ascii="Times New Roman" w:hAnsi="Times New Roman" w:cs="Times New Roman"/>
                <w:lang w:val="uk-UA"/>
              </w:rPr>
              <w:t>Розвиток аналітичного мислення при визначенні та оцінці ризиків в інноваційній діяльності підприємства і прийняття відповідних управлінських рішень;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Здатність критично сприймати і аналізувати ідеї, шукати власні шляхи вирішення проблем, проводити критичний аналіз власних матеріалів.</w:t>
            </w:r>
          </w:p>
          <w:p w14:paraId="5615C495" w14:textId="286913A8" w:rsidR="00B3180F" w:rsidRPr="00FE05E6" w:rsidRDefault="00B3180F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D52308" w:rsidRPr="00FE05E6" w14:paraId="7CD7129D" w14:textId="77777777" w:rsidTr="009652A6">
        <w:trPr>
          <w:trHeight w:hRule="exact" w:val="5192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472A0" w14:textId="6223D5E4" w:rsidR="00D52308" w:rsidRPr="00FE05E6" w:rsidRDefault="00D52308" w:rsidP="00AE0EE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F465E" w14:textId="77777777" w:rsidR="009A071E" w:rsidRPr="00FE05E6" w:rsidRDefault="009A071E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Спеціалізовано-професійні компетентності. </w:t>
            </w:r>
          </w:p>
          <w:p w14:paraId="62FB4A6E" w14:textId="77777777" w:rsidR="009A071E" w:rsidRPr="00FE05E6" w:rsidRDefault="009A071E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СК1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Здатність </w:t>
            </w:r>
            <w:r w:rsidRPr="00FE05E6">
              <w:rPr>
                <w:rFonts w:ascii="Times New Roman" w:hAnsi="Times New Roman" w:cs="Times New Roman"/>
                <w:lang w:val="uk-UA"/>
              </w:rPr>
              <w:t xml:space="preserve">оцінювати границі ризику та оцінювати вплив ризику на інноваційну діяльність підприємства залежно від його виду; </w:t>
            </w:r>
          </w:p>
          <w:p w14:paraId="5D634656" w14:textId="77777777" w:rsidR="009A071E" w:rsidRPr="00FE05E6" w:rsidRDefault="009A071E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СК2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Здатність здійснювати функцію планування в організації (чітко формулювати цільові установки організації, формувати та використовувати систему показників діяльності для контроля </w:t>
            </w:r>
            <w:r w:rsidRPr="00FE05E6">
              <w:rPr>
                <w:rFonts w:ascii="Times New Roman" w:hAnsi="Times New Roman" w:cs="Times New Roman"/>
                <w:lang w:val="uk-UA"/>
              </w:rPr>
              <w:t>впливу ризиків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забезпечувати чітку координацію дій структурних підрозділів та окремих виконавців );</w:t>
            </w:r>
          </w:p>
          <w:p w14:paraId="448E2C0E" w14:textId="77777777" w:rsidR="009A071E" w:rsidRPr="00FE05E6" w:rsidRDefault="009A071E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СК3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Здатність здійснювати функцію організації на підприємстві - </w:t>
            </w:r>
            <w:r w:rsidRPr="00FE05E6">
              <w:rPr>
                <w:rFonts w:ascii="Times New Roman" w:hAnsi="Times New Roman" w:cs="Times New Roman"/>
                <w:lang w:val="uk-UA"/>
              </w:rPr>
              <w:t>обирати підходи до управління економічним ризиком; вибирати оптимальну стратегію в умовах невизначеності та конфлікту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;</w:t>
            </w:r>
          </w:p>
          <w:p w14:paraId="1D3CF49F" w14:textId="77777777" w:rsidR="009A071E" w:rsidRPr="00FE05E6" w:rsidRDefault="009A071E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СК4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Здатність здійснювати функцію мотивації на підприємстві (</w:t>
            </w:r>
            <w:r w:rsidRPr="00FE05E6">
              <w:rPr>
                <w:rFonts w:ascii="Times New Roman" w:hAnsi="Times New Roman" w:cs="Times New Roman"/>
                <w:lang w:val="uk-UA"/>
              </w:rPr>
              <w:t>визначати найбільш вдалий метод виміру ризику в кожній конкретній ситуації та застосовувати їх на практиці;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);</w:t>
            </w:r>
          </w:p>
          <w:p w14:paraId="468141F1" w14:textId="77777777" w:rsidR="009A071E" w:rsidRPr="00FE05E6" w:rsidRDefault="009A071E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СК5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Здатність здійснювати функцію контролю на підприємстві (</w:t>
            </w:r>
            <w:r w:rsidRPr="00FE05E6">
              <w:rPr>
                <w:rFonts w:ascii="Times New Roman" w:hAnsi="Times New Roman" w:cs="Times New Roman"/>
                <w:lang w:val="uk-UA"/>
              </w:rPr>
              <w:t xml:space="preserve">знаходити найбільш оптимальні шляхи зменшення невизначеності та ризику; вимірювати ризик за </w:t>
            </w:r>
            <w:r>
              <w:rPr>
                <w:rFonts w:ascii="Times New Roman" w:hAnsi="Times New Roman" w:cs="Times New Roman"/>
                <w:lang w:val="uk-UA"/>
              </w:rPr>
              <w:t>допомогою коефіцієнта ризику;</w:t>
            </w:r>
            <w:r w:rsidRPr="00FE05E6">
              <w:rPr>
                <w:rFonts w:ascii="Times New Roman" w:hAnsi="Times New Roman" w:cs="Times New Roman"/>
                <w:lang w:val="uk-UA"/>
              </w:rPr>
              <w:t xml:space="preserve"> планувати інноваційну діяльність підприємства з урахуванням економічного ризику).</w:t>
            </w:r>
          </w:p>
          <w:p w14:paraId="50325A4E" w14:textId="77777777" w:rsidR="009A071E" w:rsidRPr="00FE05E6" w:rsidRDefault="009A071E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14:paraId="4F07E488" w14:textId="1CBEE043" w:rsidR="00FE05E6" w:rsidRPr="00FE05E6" w:rsidRDefault="00FE05E6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B3180F" w:rsidRPr="00FE05E6" w14:paraId="279460E5" w14:textId="77777777" w:rsidTr="009652A6">
        <w:trPr>
          <w:trHeight w:hRule="exact" w:val="615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365C4" w14:textId="339484C6" w:rsidR="00B3180F" w:rsidRPr="00FE05E6" w:rsidRDefault="00B3180F" w:rsidP="00AE0E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Навчальна логістика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1BAD" w14:textId="77777777" w:rsidR="00B3180F" w:rsidRDefault="00B3180F" w:rsidP="009652A6">
            <w:pPr>
              <w:tabs>
                <w:tab w:val="left" w:pos="-169"/>
              </w:tabs>
              <w:spacing w:after="0"/>
              <w:ind w:left="-2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Зміст дисципліни: Теоретичні основи та прикладні аспекти управління ризиками в інноваційній діяльності . Розвиток та становлення ризик-менеджменту в економічній науці. Поняття невизначеності та ситуації ризику. Сутність та природа інноваційного ризику Основні види та причини виникнення інноваційних ризиків . Чинники виникнення інноваційного ризикую  Підходи до класифікації ризиків у сучасній </w:t>
            </w:r>
            <w:proofErr w:type="spellStart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ризикології</w:t>
            </w:r>
            <w:proofErr w:type="spellEnd"/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Класифікація інноваційних ризиків. Ініціювання інноваційного ризику Аналізування інноваційного ризику якісним способом. Аналізування інноваційного ризику кількісним способом. Статистичний метод . Метод аналізу доцільності витрат  Метод експертних оцінок .Аналітичний метод . Організація ризик-менеджменту на підприємстві. Стимулювання інноваційної діяльності на підприємстві. Оцінювання ефективності інноваційної діяльності. Вплив упровадження інновацій на конкурентосп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роможність підприємства. </w:t>
            </w:r>
          </w:p>
          <w:p w14:paraId="69229AFB" w14:textId="22474873" w:rsidR="00B3180F" w:rsidRPr="00FE05E6" w:rsidRDefault="00B3180F" w:rsidP="009652A6">
            <w:pPr>
              <w:tabs>
                <w:tab w:val="left" w:pos="-169"/>
              </w:tabs>
              <w:spacing w:after="0"/>
              <w:ind w:left="-2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3180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Види занять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: лекції, семінарські.</w:t>
            </w:r>
          </w:p>
          <w:p w14:paraId="6FA07203" w14:textId="77777777" w:rsidR="00B3180F" w:rsidRPr="00FE05E6" w:rsidRDefault="00B3180F" w:rsidP="009652A6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3180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Методи навчання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: розв’язування ситуаційних завдань, кейсів, технологія дистанційного навчання, тренінг</w:t>
            </w:r>
          </w:p>
          <w:p w14:paraId="40340AF0" w14:textId="7942CD54" w:rsidR="00B3180F" w:rsidRPr="00FE05E6" w:rsidRDefault="00B3180F" w:rsidP="009652A6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3180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Форми навчання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: очна, заочна</w:t>
            </w:r>
          </w:p>
        </w:tc>
      </w:tr>
      <w:tr w:rsidR="00FF5049" w:rsidRPr="00FE05E6" w14:paraId="0B862253" w14:textId="77777777" w:rsidTr="009652A6">
        <w:trPr>
          <w:trHeight w:hRule="exact" w:val="775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9C5E" w14:textId="77777777" w:rsidR="00FF5049" w:rsidRPr="00FE05E6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7BB2" w14:textId="41216C55" w:rsidR="00FF5049" w:rsidRPr="00FE05E6" w:rsidRDefault="00201EE7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Загальні знання, отримані на першому (бакалаврському) рівні вищої освіти щодо основ </w:t>
            </w:r>
            <w:r w:rsidR="009E4BB9"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менеджменту</w:t>
            </w:r>
          </w:p>
        </w:tc>
      </w:tr>
      <w:tr w:rsidR="00FF5049" w:rsidRPr="00FE05E6" w14:paraId="429BDB36" w14:textId="77777777" w:rsidTr="009A071E">
        <w:trPr>
          <w:trHeight w:hRule="exact" w:val="624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88A5" w14:textId="77777777" w:rsidR="00FF5049" w:rsidRPr="00FE05E6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  <w:proofErr w:type="spellEnd"/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E827" w14:textId="3A45DC9C" w:rsidR="00FF5049" w:rsidRPr="00FE05E6" w:rsidRDefault="00201EE7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Отримані під час вивчення дисципліни знання</w:t>
            </w:r>
            <w:r w:rsidRPr="00FE05E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є базою для</w:t>
            </w:r>
            <w:r w:rsidR="00796A02"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написання магістерської роботи</w:t>
            </w:r>
          </w:p>
        </w:tc>
      </w:tr>
      <w:tr w:rsidR="00FF5049" w:rsidRPr="00FE05E6" w14:paraId="104E336B" w14:textId="77777777" w:rsidTr="009652A6">
        <w:trPr>
          <w:trHeight w:hRule="exact" w:val="150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858C" w14:textId="77777777" w:rsidR="00FF5049" w:rsidRPr="00FE05E6" w:rsidRDefault="00B34770" w:rsidP="003310A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Інформаційне забезпечення</w:t>
            </w:r>
            <w:r w:rsidR="003310AD" w:rsidRPr="00FE05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FE05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з </w:t>
            </w:r>
            <w:r w:rsidR="00D322C6" w:rsidRPr="00FE05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фонду та </w:t>
            </w:r>
            <w:proofErr w:type="spellStart"/>
            <w:r w:rsidRPr="00FE05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FE05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05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НТБ</w:t>
            </w:r>
            <w:proofErr w:type="spellEnd"/>
            <w:r w:rsidRPr="00FE05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05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НАУ</w:t>
            </w:r>
            <w:proofErr w:type="spellEnd"/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EA73" w14:textId="490C2CED" w:rsidR="00F13FF3" w:rsidRPr="00FE05E6" w:rsidRDefault="00145D02" w:rsidP="00145D02">
            <w:pPr>
              <w:tabs>
                <w:tab w:val="left" w:pos="-169"/>
              </w:tabs>
              <w:spacing w:after="30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Управління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фінансовою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санацією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ідприємства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[Текст] :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методичні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рекомендації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практичних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занять та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виконання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курсової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роботи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студентів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спеціальності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8.050104 "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Фінанси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" /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МС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України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Національний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авіаційний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університет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;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Селіверстова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Ірина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Олегівна</w:t>
            </w:r>
            <w:proofErr w:type="spell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уклад. – </w:t>
            </w:r>
            <w:proofErr w:type="spell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Київ</w:t>
            </w:r>
            <w:proofErr w:type="spellEnd"/>
            <w:proofErr w:type="gramStart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145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НАУ, 2011. – 48 с.</w:t>
            </w:r>
          </w:p>
        </w:tc>
      </w:tr>
      <w:tr w:rsidR="009A071E" w:rsidRPr="00FE05E6" w14:paraId="50F95CE9" w14:textId="77777777" w:rsidTr="009A071E">
        <w:trPr>
          <w:trHeight w:hRule="exact" w:val="624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4A18" w14:textId="77777777" w:rsidR="009A071E" w:rsidRPr="00FE05E6" w:rsidRDefault="009A071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335D" w14:textId="1816E323" w:rsidR="009A071E" w:rsidRPr="009A071E" w:rsidRDefault="009A071E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9A07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Кімната</w:t>
            </w:r>
            <w:proofErr w:type="spellEnd"/>
            <w:r w:rsidRPr="009A07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8.907, </w:t>
            </w:r>
            <w:proofErr w:type="spellStart"/>
            <w:r w:rsidRPr="009A07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комп’ютер</w:t>
            </w:r>
            <w:proofErr w:type="spellEnd"/>
            <w:r w:rsidRPr="009A07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проектор, </w:t>
            </w:r>
            <w:proofErr w:type="spellStart"/>
            <w:r w:rsidRPr="009A07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екран</w:t>
            </w:r>
            <w:proofErr w:type="spellEnd"/>
          </w:p>
        </w:tc>
      </w:tr>
      <w:tr w:rsidR="009A071E" w:rsidRPr="00FE05E6" w14:paraId="42CC2FFB" w14:textId="77777777" w:rsidTr="009A071E">
        <w:trPr>
          <w:trHeight w:hRule="exact" w:val="624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4697" w14:textId="77777777" w:rsidR="009A071E" w:rsidRPr="00FE05E6" w:rsidRDefault="009A071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D091" w14:textId="4114690B" w:rsidR="009A071E" w:rsidRPr="009A071E" w:rsidRDefault="009A071E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9A07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Диференційований</w:t>
            </w:r>
            <w:proofErr w:type="spellEnd"/>
            <w:r w:rsidRPr="009A07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A07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залі</w:t>
            </w:r>
            <w:proofErr w:type="gramStart"/>
            <w:r w:rsidRPr="009A07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spellEnd"/>
            <w:proofErr w:type="gramEnd"/>
          </w:p>
        </w:tc>
      </w:tr>
      <w:tr w:rsidR="00FF5049" w:rsidRPr="00FE05E6" w14:paraId="62190133" w14:textId="77777777" w:rsidTr="009A071E">
        <w:trPr>
          <w:trHeight w:hRule="exact" w:val="39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79D7" w14:textId="77777777" w:rsidR="00FF5049" w:rsidRPr="00FE05E6" w:rsidRDefault="00B3477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F5C9" w14:textId="470EA5BC" w:rsidR="00FF5049" w:rsidRPr="00FE05E6" w:rsidRDefault="009A071E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Управління людським фактором</w:t>
            </w:r>
          </w:p>
        </w:tc>
      </w:tr>
      <w:tr w:rsidR="00FF5049" w:rsidRPr="00FE05E6" w14:paraId="4768B0D8" w14:textId="77777777" w:rsidTr="009A071E">
        <w:trPr>
          <w:trHeight w:hRule="exact" w:val="39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F1EB" w14:textId="77777777" w:rsidR="00FF5049" w:rsidRPr="00FE05E6" w:rsidRDefault="00B3477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AFE5" w14:textId="77777777" w:rsidR="00FF5049" w:rsidRPr="00FE05E6" w:rsidRDefault="00504D1C" w:rsidP="00145D02">
            <w:pPr>
              <w:tabs>
                <w:tab w:val="left" w:pos="-169"/>
              </w:tabs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Навчально-науковий інститут неперервної освіти</w:t>
            </w:r>
          </w:p>
        </w:tc>
      </w:tr>
      <w:tr w:rsidR="00BD6F86" w:rsidRPr="00FE05E6" w14:paraId="7FD9F87B" w14:textId="77777777" w:rsidTr="009A071E">
        <w:trPr>
          <w:trHeight w:val="2052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2158" w14:textId="77777777" w:rsidR="00BD6F86" w:rsidRPr="00FE05E6" w:rsidRDefault="00BD6F86" w:rsidP="004329A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1"/>
            </w:tblGrid>
            <w:tr w:rsidR="00E401E3" w:rsidRPr="00FE05E6" w14:paraId="4BD00E12" w14:textId="77777777" w:rsidTr="00E401E3">
              <w:trPr>
                <w:trHeight w:val="1842"/>
              </w:trPr>
              <w:tc>
                <w:tcPr>
                  <w:tcW w:w="1891" w:type="dxa"/>
                </w:tcPr>
                <w:p w14:paraId="5AECDC66" w14:textId="059738DB" w:rsidR="00E401E3" w:rsidRPr="00FE05E6" w:rsidRDefault="003A3DDF" w:rsidP="00145D02">
                  <w:pPr>
                    <w:tabs>
                      <w:tab w:val="left" w:pos="-169"/>
                    </w:tabs>
                    <w:ind w:left="-27"/>
                    <w:rPr>
                      <w:rFonts w:ascii="Times New Roman" w:hAnsi="Times New Roman" w:cs="Times New Roman"/>
                      <w:lang w:val="uk-UA"/>
                    </w:rPr>
                  </w:pPr>
                  <w:r w:rsidRPr="00FE05E6">
                    <w:rPr>
                      <w:rFonts w:ascii="Times New Roman" w:hAnsi="Times New Roman" w:cs="Times New Roman"/>
                      <w:noProof/>
                      <w:lang w:val="uk-UA" w:eastAsia="uk-UA"/>
                    </w:rPr>
                    <w:drawing>
                      <wp:inline distT="0" distB="0" distL="0" distR="0" wp14:anchorId="15B84568" wp14:editId="2DCF32B3">
                        <wp:extent cx="1057275" cy="1361642"/>
                        <wp:effectExtent l="0" t="0" r="0" b="0"/>
                        <wp:docPr id="1" name="Рисунок 1" descr="C:\Users\Полина\OneDrive\Зображення\Saved Pictures\фото сан.кн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ина\OneDrive\Зображення\Saved Pictures\фото сан.кн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484" cy="1364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65C223" w14:textId="1962809B" w:rsidR="00EB1D90" w:rsidRPr="00FE05E6" w:rsidRDefault="00EB1D90" w:rsidP="00145D02">
            <w:pPr>
              <w:tabs>
                <w:tab w:val="left" w:pos="-169"/>
              </w:tabs>
              <w:spacing w:after="0" w:line="240" w:lineRule="auto"/>
              <w:ind w:left="-2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ПІБ: </w:t>
            </w:r>
            <w:r w:rsidR="002660CF"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A3DDF"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ащенко Поліна Олександрівна</w:t>
            </w:r>
          </w:p>
          <w:p w14:paraId="2CD5A2E4" w14:textId="72EC66D0" w:rsidR="00EB1D90" w:rsidRPr="00FE05E6" w:rsidRDefault="00EB1D90" w:rsidP="00145D02">
            <w:pPr>
              <w:tabs>
                <w:tab w:val="left" w:pos="-169"/>
              </w:tabs>
              <w:spacing w:after="0" w:line="240" w:lineRule="auto"/>
              <w:ind w:left="-2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Посада: </w:t>
            </w:r>
          </w:p>
          <w:p w14:paraId="1AD6C724" w14:textId="01D5F752" w:rsidR="00EB1D90" w:rsidRPr="00FE05E6" w:rsidRDefault="00EB1D90" w:rsidP="00145D02">
            <w:pPr>
              <w:tabs>
                <w:tab w:val="left" w:pos="-169"/>
              </w:tabs>
              <w:spacing w:after="0" w:line="240" w:lineRule="auto"/>
              <w:ind w:left="-2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>Вчений</w:t>
            </w:r>
            <w:proofErr w:type="spellEnd"/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>ступінь</w:t>
            </w:r>
            <w:proofErr w:type="spellEnd"/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3DDF" w:rsidRPr="00FE05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доктор філософії</w:t>
            </w:r>
            <w:r w:rsidR="001E7912" w:rsidRPr="00FE05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менеджменту</w:t>
            </w:r>
          </w:p>
          <w:p w14:paraId="3CA28067" w14:textId="0B112DB0" w:rsidR="00EB1D90" w:rsidRPr="00FE05E6" w:rsidRDefault="00EB1D90" w:rsidP="00145D02">
            <w:pPr>
              <w:tabs>
                <w:tab w:val="left" w:pos="-169"/>
              </w:tabs>
              <w:spacing w:after="0" w:line="240" w:lineRule="auto"/>
              <w:ind w:left="-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</w:t>
            </w:r>
            <w:proofErr w:type="spellEnd"/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124BE78" w14:textId="0D760436" w:rsidR="00EB1D90" w:rsidRPr="00FE05E6" w:rsidRDefault="00EB1D90" w:rsidP="00145D02">
            <w:pPr>
              <w:tabs>
                <w:tab w:val="left" w:pos="-169"/>
              </w:tabs>
              <w:spacing w:after="0" w:line="240" w:lineRule="auto"/>
              <w:ind w:left="-2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FE0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3DDF"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508604290</w:t>
            </w:r>
          </w:p>
          <w:p w14:paraId="39ABCD46" w14:textId="3A96F8D9" w:rsidR="00EB1D90" w:rsidRPr="00FE05E6" w:rsidRDefault="00EB1D90" w:rsidP="00145D02">
            <w:pPr>
              <w:pStyle w:val="a9"/>
              <w:tabs>
                <w:tab w:val="left" w:pos="-169"/>
              </w:tabs>
              <w:ind w:left="-2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0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10" w:history="1">
              <w:r w:rsidR="001E7912" w:rsidRPr="00FE05E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pashchenko291275@gmail.com</w:t>
              </w:r>
            </w:hyperlink>
          </w:p>
          <w:p w14:paraId="3B5C32E7" w14:textId="30ACFEE5" w:rsidR="001E7912" w:rsidRPr="00FE05E6" w:rsidRDefault="001E7912" w:rsidP="00145D02">
            <w:pPr>
              <w:pStyle w:val="a9"/>
              <w:tabs>
                <w:tab w:val="left" w:pos="-169"/>
              </w:tabs>
              <w:ind w:left="-2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ORCID: 0000-0001-8375-2424</w:t>
            </w:r>
          </w:p>
          <w:p w14:paraId="0514890A" w14:textId="21916FA2" w:rsidR="00BD6F86" w:rsidRPr="00FE05E6" w:rsidRDefault="00EB1D90" w:rsidP="00145D02">
            <w:pPr>
              <w:tabs>
                <w:tab w:val="left" w:pos="-169"/>
              </w:tabs>
              <w:spacing w:after="0" w:line="240" w:lineRule="auto"/>
              <w:ind w:left="-27"/>
              <w:rPr>
                <w:rFonts w:ascii="Times New Roman" w:hAnsi="Times New Roman" w:cs="Times New Roman"/>
                <w:b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Робоче місце:</w:t>
            </w:r>
            <w:r w:rsidRPr="00FE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5049" w:rsidRPr="00FE05E6" w14:paraId="7ED96507" w14:textId="77777777" w:rsidTr="009A071E">
        <w:trPr>
          <w:trHeight w:hRule="exact" w:val="624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7B32" w14:textId="77777777" w:rsidR="00FF5049" w:rsidRPr="00FE05E6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1862" w14:textId="77777777" w:rsidR="00FF5049" w:rsidRPr="00FE05E6" w:rsidRDefault="00310B32" w:rsidP="00145D02">
            <w:pPr>
              <w:tabs>
                <w:tab w:val="left" w:pos="-169"/>
              </w:tabs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</w:t>
            </w:r>
          </w:p>
        </w:tc>
      </w:tr>
      <w:tr w:rsidR="00FF5049" w:rsidRPr="00FE05E6" w14:paraId="42D74ED9" w14:textId="77777777" w:rsidTr="009A071E">
        <w:trPr>
          <w:trHeight w:hRule="exact" w:val="39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C071" w14:textId="77777777" w:rsidR="00FF5049" w:rsidRPr="00FE05E6" w:rsidRDefault="000D6EB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E05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Лінк на дисципліну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957A" w14:textId="1F5C9696" w:rsidR="00FF5049" w:rsidRPr="00FE05E6" w:rsidRDefault="00F56B81" w:rsidP="00145D02">
            <w:pPr>
              <w:pStyle w:val="1"/>
              <w:shd w:val="clear" w:color="auto" w:fill="FFFFFF"/>
              <w:tabs>
                <w:tab w:val="left" w:pos="-169"/>
              </w:tabs>
              <w:spacing w:before="0" w:after="0"/>
              <w:ind w:left="-27"/>
              <w:rPr>
                <w:rFonts w:cs="Times New Roman"/>
                <w:b w:val="0"/>
                <w:i/>
                <w:color w:val="auto"/>
                <w:sz w:val="24"/>
                <w:szCs w:val="24"/>
                <w:lang w:val="uk-UA"/>
              </w:rPr>
            </w:pPr>
            <w:r w:rsidRPr="00FE05E6">
              <w:rPr>
                <w:rFonts w:cs="Times New Roman"/>
                <w:b w:val="0"/>
                <w:i/>
                <w:color w:val="auto"/>
                <w:sz w:val="24"/>
                <w:szCs w:val="24"/>
                <w:lang w:val="uk-UA"/>
              </w:rPr>
              <w:t>В розробці</w:t>
            </w:r>
          </w:p>
        </w:tc>
      </w:tr>
    </w:tbl>
    <w:p w14:paraId="58F8B977" w14:textId="383EEB7D" w:rsidR="00FF5049" w:rsidRPr="00FE05E6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14:paraId="0E59B3CD" w14:textId="77777777" w:rsidR="001F0C3D" w:rsidRPr="00FE05E6" w:rsidRDefault="001F0C3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sectPr w:rsidR="001F0C3D" w:rsidRPr="00FE05E6" w:rsidSect="00D52308">
      <w:headerReference w:type="default" r:id="rId11"/>
      <w:footerReference w:type="default" r:id="rId12"/>
      <w:pgSz w:w="11900" w:h="16840"/>
      <w:pgMar w:top="567" w:right="567" w:bottom="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7F7ED" w14:textId="77777777" w:rsidR="006129E8" w:rsidRDefault="006129E8">
      <w:pPr>
        <w:spacing w:after="0" w:line="240" w:lineRule="auto"/>
      </w:pPr>
      <w:r>
        <w:separator/>
      </w:r>
    </w:p>
  </w:endnote>
  <w:endnote w:type="continuationSeparator" w:id="0">
    <w:p w14:paraId="6CC2D1C8" w14:textId="77777777" w:rsidR="006129E8" w:rsidRDefault="0061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D4322" w14:textId="77777777" w:rsidR="00D842FC" w:rsidRDefault="00D842F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24AFF" w14:textId="77777777" w:rsidR="006129E8" w:rsidRDefault="006129E8">
      <w:pPr>
        <w:spacing w:after="0" w:line="240" w:lineRule="auto"/>
      </w:pPr>
      <w:r>
        <w:separator/>
      </w:r>
    </w:p>
  </w:footnote>
  <w:footnote w:type="continuationSeparator" w:id="0">
    <w:p w14:paraId="733FD262" w14:textId="77777777" w:rsidR="006129E8" w:rsidRDefault="0061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C993F" w14:textId="77777777" w:rsidR="00D842FC" w:rsidRDefault="00D842FC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607"/>
    <w:multiLevelType w:val="multilevel"/>
    <w:tmpl w:val="75E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495CFF"/>
    <w:multiLevelType w:val="hybridMultilevel"/>
    <w:tmpl w:val="72FC9040"/>
    <w:lvl w:ilvl="0" w:tplc="495E0DE2">
      <w:start w:val="1"/>
      <w:numFmt w:val="bullet"/>
      <w:lvlText w:val="і"/>
      <w:lvlJc w:val="left"/>
    </w:lvl>
    <w:lvl w:ilvl="1" w:tplc="193EE84A">
      <w:numFmt w:val="decimal"/>
      <w:lvlText w:val=""/>
      <w:lvlJc w:val="left"/>
    </w:lvl>
    <w:lvl w:ilvl="2" w:tplc="FFAC2C14">
      <w:numFmt w:val="decimal"/>
      <w:lvlText w:val=""/>
      <w:lvlJc w:val="left"/>
    </w:lvl>
    <w:lvl w:ilvl="3" w:tplc="6BB8DFB0">
      <w:numFmt w:val="decimal"/>
      <w:lvlText w:val=""/>
      <w:lvlJc w:val="left"/>
    </w:lvl>
    <w:lvl w:ilvl="4" w:tplc="046E4090">
      <w:numFmt w:val="decimal"/>
      <w:lvlText w:val=""/>
      <w:lvlJc w:val="left"/>
    </w:lvl>
    <w:lvl w:ilvl="5" w:tplc="42D41CD4">
      <w:numFmt w:val="decimal"/>
      <w:lvlText w:val=""/>
      <w:lvlJc w:val="left"/>
    </w:lvl>
    <w:lvl w:ilvl="6" w:tplc="625AA6A2">
      <w:numFmt w:val="decimal"/>
      <w:lvlText w:val=""/>
      <w:lvlJc w:val="left"/>
    </w:lvl>
    <w:lvl w:ilvl="7" w:tplc="322AF3EA">
      <w:numFmt w:val="decimal"/>
      <w:lvlText w:val=""/>
      <w:lvlJc w:val="left"/>
    </w:lvl>
    <w:lvl w:ilvl="8" w:tplc="1C88FA64">
      <w:numFmt w:val="decimal"/>
      <w:lvlText w:val=""/>
      <w:lvlJc w:val="left"/>
    </w:lvl>
  </w:abstractNum>
  <w:abstractNum w:abstractNumId="2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8E1F29"/>
    <w:multiLevelType w:val="hybridMultilevel"/>
    <w:tmpl w:val="F6EA39B0"/>
    <w:lvl w:ilvl="0" w:tplc="837254DE">
      <w:start w:val="1"/>
      <w:numFmt w:val="bullet"/>
      <w:lvlText w:val="в"/>
      <w:lvlJc w:val="left"/>
    </w:lvl>
    <w:lvl w:ilvl="1" w:tplc="19EE0770">
      <w:start w:val="4"/>
      <w:numFmt w:val="decimal"/>
      <w:lvlText w:val="%2."/>
      <w:lvlJc w:val="left"/>
    </w:lvl>
    <w:lvl w:ilvl="2" w:tplc="9AE4C7FA">
      <w:start w:val="6"/>
      <w:numFmt w:val="decimal"/>
      <w:lvlText w:val="%3."/>
      <w:lvlJc w:val="left"/>
    </w:lvl>
    <w:lvl w:ilvl="3" w:tplc="59D0EA5C">
      <w:numFmt w:val="decimal"/>
      <w:lvlText w:val=""/>
      <w:lvlJc w:val="left"/>
    </w:lvl>
    <w:lvl w:ilvl="4" w:tplc="4C98DD72">
      <w:numFmt w:val="decimal"/>
      <w:lvlText w:val=""/>
      <w:lvlJc w:val="left"/>
    </w:lvl>
    <w:lvl w:ilvl="5" w:tplc="E0944804">
      <w:numFmt w:val="decimal"/>
      <w:lvlText w:val=""/>
      <w:lvlJc w:val="left"/>
    </w:lvl>
    <w:lvl w:ilvl="6" w:tplc="1C042836">
      <w:numFmt w:val="decimal"/>
      <w:lvlText w:val=""/>
      <w:lvlJc w:val="left"/>
    </w:lvl>
    <w:lvl w:ilvl="7" w:tplc="19DA1634">
      <w:numFmt w:val="decimal"/>
      <w:lvlText w:val=""/>
      <w:lvlJc w:val="left"/>
    </w:lvl>
    <w:lvl w:ilvl="8" w:tplc="37C25672">
      <w:numFmt w:val="decimal"/>
      <w:lvlText w:val=""/>
      <w:lvlJc w:val="left"/>
    </w:lvl>
  </w:abstractNum>
  <w:abstractNum w:abstractNumId="4">
    <w:nsid w:val="28643306"/>
    <w:multiLevelType w:val="hybridMultilevel"/>
    <w:tmpl w:val="5A143804"/>
    <w:lvl w:ilvl="0" w:tplc="E95C01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8944A"/>
    <w:multiLevelType w:val="hybridMultilevel"/>
    <w:tmpl w:val="6316A860"/>
    <w:lvl w:ilvl="0" w:tplc="0204BFBA">
      <w:start w:val="1"/>
      <w:numFmt w:val="decimal"/>
      <w:lvlText w:val="%1."/>
      <w:lvlJc w:val="left"/>
    </w:lvl>
    <w:lvl w:ilvl="1" w:tplc="E6784CF4">
      <w:numFmt w:val="decimal"/>
      <w:lvlText w:val=""/>
      <w:lvlJc w:val="left"/>
    </w:lvl>
    <w:lvl w:ilvl="2" w:tplc="99BAF9A6">
      <w:numFmt w:val="decimal"/>
      <w:lvlText w:val=""/>
      <w:lvlJc w:val="left"/>
    </w:lvl>
    <w:lvl w:ilvl="3" w:tplc="140C72C0">
      <w:numFmt w:val="decimal"/>
      <w:lvlText w:val=""/>
      <w:lvlJc w:val="left"/>
    </w:lvl>
    <w:lvl w:ilvl="4" w:tplc="C2920CA0">
      <w:numFmt w:val="decimal"/>
      <w:lvlText w:val=""/>
      <w:lvlJc w:val="left"/>
    </w:lvl>
    <w:lvl w:ilvl="5" w:tplc="93B62562">
      <w:numFmt w:val="decimal"/>
      <w:lvlText w:val=""/>
      <w:lvlJc w:val="left"/>
    </w:lvl>
    <w:lvl w:ilvl="6" w:tplc="8FECDCDA">
      <w:numFmt w:val="decimal"/>
      <w:lvlText w:val=""/>
      <w:lvlJc w:val="left"/>
    </w:lvl>
    <w:lvl w:ilvl="7" w:tplc="35DE0C74">
      <w:numFmt w:val="decimal"/>
      <w:lvlText w:val=""/>
      <w:lvlJc w:val="left"/>
    </w:lvl>
    <w:lvl w:ilvl="8" w:tplc="3F16A9F2">
      <w:numFmt w:val="decimal"/>
      <w:lvlText w:val=""/>
      <w:lvlJc w:val="left"/>
    </w:lvl>
  </w:abstractNum>
  <w:abstractNum w:abstractNumId="6">
    <w:nsid w:val="46E87CCD"/>
    <w:multiLevelType w:val="hybridMultilevel"/>
    <w:tmpl w:val="DE6428F8"/>
    <w:lvl w:ilvl="0" w:tplc="0220C4D6">
      <w:start w:val="1"/>
      <w:numFmt w:val="bullet"/>
      <w:lvlText w:val="в"/>
      <w:lvlJc w:val="left"/>
    </w:lvl>
    <w:lvl w:ilvl="1" w:tplc="E1D4FFB2">
      <w:start w:val="7"/>
      <w:numFmt w:val="decimal"/>
      <w:lvlText w:val="%2."/>
      <w:lvlJc w:val="left"/>
    </w:lvl>
    <w:lvl w:ilvl="2" w:tplc="DE54FCD4">
      <w:start w:val="1"/>
      <w:numFmt w:val="decimal"/>
      <w:lvlText w:val="%3"/>
      <w:lvlJc w:val="left"/>
    </w:lvl>
    <w:lvl w:ilvl="3" w:tplc="16A88B66">
      <w:numFmt w:val="decimal"/>
      <w:lvlText w:val=""/>
      <w:lvlJc w:val="left"/>
    </w:lvl>
    <w:lvl w:ilvl="4" w:tplc="5A3E6500">
      <w:numFmt w:val="decimal"/>
      <w:lvlText w:val=""/>
      <w:lvlJc w:val="left"/>
    </w:lvl>
    <w:lvl w:ilvl="5" w:tplc="11207794">
      <w:numFmt w:val="decimal"/>
      <w:lvlText w:val=""/>
      <w:lvlJc w:val="left"/>
    </w:lvl>
    <w:lvl w:ilvl="6" w:tplc="E94A545C">
      <w:numFmt w:val="decimal"/>
      <w:lvlText w:val=""/>
      <w:lvlJc w:val="left"/>
    </w:lvl>
    <w:lvl w:ilvl="7" w:tplc="A58A2AC4">
      <w:numFmt w:val="decimal"/>
      <w:lvlText w:val=""/>
      <w:lvlJc w:val="left"/>
    </w:lvl>
    <w:lvl w:ilvl="8" w:tplc="E70AFBCC">
      <w:numFmt w:val="decimal"/>
      <w:lvlText w:val=""/>
      <w:lvlJc w:val="left"/>
    </w:lvl>
  </w:abstractNum>
  <w:abstractNum w:abstractNumId="7">
    <w:nsid w:val="53EF34D6"/>
    <w:multiLevelType w:val="multilevel"/>
    <w:tmpl w:val="8D44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558EC"/>
    <w:multiLevelType w:val="hybridMultilevel"/>
    <w:tmpl w:val="3788C648"/>
    <w:lvl w:ilvl="0" w:tplc="2B560A44">
      <w:start w:val="1"/>
      <w:numFmt w:val="bullet"/>
      <w:lvlText w:val="в"/>
      <w:lvlJc w:val="left"/>
    </w:lvl>
    <w:lvl w:ilvl="1" w:tplc="340AC804">
      <w:start w:val="1"/>
      <w:numFmt w:val="decimal"/>
      <w:lvlText w:val="%2."/>
      <w:lvlJc w:val="left"/>
    </w:lvl>
    <w:lvl w:ilvl="2" w:tplc="DA6851B8">
      <w:start w:val="1"/>
      <w:numFmt w:val="decimal"/>
      <w:lvlText w:val="%3"/>
      <w:lvlJc w:val="left"/>
    </w:lvl>
    <w:lvl w:ilvl="3" w:tplc="75DCEA0E">
      <w:numFmt w:val="decimal"/>
      <w:lvlText w:val=""/>
      <w:lvlJc w:val="left"/>
    </w:lvl>
    <w:lvl w:ilvl="4" w:tplc="D11494B0">
      <w:numFmt w:val="decimal"/>
      <w:lvlText w:val=""/>
      <w:lvlJc w:val="left"/>
    </w:lvl>
    <w:lvl w:ilvl="5" w:tplc="A69A0388">
      <w:numFmt w:val="decimal"/>
      <w:lvlText w:val=""/>
      <w:lvlJc w:val="left"/>
    </w:lvl>
    <w:lvl w:ilvl="6" w:tplc="B38ED1D6">
      <w:numFmt w:val="decimal"/>
      <w:lvlText w:val=""/>
      <w:lvlJc w:val="left"/>
    </w:lvl>
    <w:lvl w:ilvl="7" w:tplc="9574F894">
      <w:numFmt w:val="decimal"/>
      <w:lvlText w:val=""/>
      <w:lvlJc w:val="left"/>
    </w:lvl>
    <w:lvl w:ilvl="8" w:tplc="DE0E4C42">
      <w:numFmt w:val="decimal"/>
      <w:lvlText w:val=""/>
      <w:lvlJc w:val="left"/>
    </w:lvl>
  </w:abstractNum>
  <w:num w:numId="1">
    <w:abstractNumId w:val="2"/>
  </w:num>
  <w:num w:numId="2">
    <w:abstractNumId w:val="2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49"/>
    <w:rsid w:val="000008A4"/>
    <w:rsid w:val="00004570"/>
    <w:rsid w:val="000046FD"/>
    <w:rsid w:val="00004F6B"/>
    <w:rsid w:val="00012236"/>
    <w:rsid w:val="000304BE"/>
    <w:rsid w:val="00054B5B"/>
    <w:rsid w:val="000A4357"/>
    <w:rsid w:val="000A43A8"/>
    <w:rsid w:val="000D5953"/>
    <w:rsid w:val="000D64CD"/>
    <w:rsid w:val="000D6EB3"/>
    <w:rsid w:val="000E6FCF"/>
    <w:rsid w:val="000F41AA"/>
    <w:rsid w:val="000F5C7F"/>
    <w:rsid w:val="000F66B0"/>
    <w:rsid w:val="00140872"/>
    <w:rsid w:val="001427AC"/>
    <w:rsid w:val="00145D02"/>
    <w:rsid w:val="001476F5"/>
    <w:rsid w:val="001917AF"/>
    <w:rsid w:val="001A5CDB"/>
    <w:rsid w:val="001E7912"/>
    <w:rsid w:val="001F0C3D"/>
    <w:rsid w:val="00201EE7"/>
    <w:rsid w:val="00206353"/>
    <w:rsid w:val="00264E47"/>
    <w:rsid w:val="002660CF"/>
    <w:rsid w:val="002714A2"/>
    <w:rsid w:val="002B2645"/>
    <w:rsid w:val="002D45F1"/>
    <w:rsid w:val="00310B32"/>
    <w:rsid w:val="003310AD"/>
    <w:rsid w:val="00346B27"/>
    <w:rsid w:val="0037184E"/>
    <w:rsid w:val="003737A8"/>
    <w:rsid w:val="003814FD"/>
    <w:rsid w:val="003841B2"/>
    <w:rsid w:val="003A3DDF"/>
    <w:rsid w:val="003C4DA8"/>
    <w:rsid w:val="004015B2"/>
    <w:rsid w:val="004225FC"/>
    <w:rsid w:val="004329A8"/>
    <w:rsid w:val="00450799"/>
    <w:rsid w:val="00451090"/>
    <w:rsid w:val="004973E6"/>
    <w:rsid w:val="004B46A1"/>
    <w:rsid w:val="004D3F0A"/>
    <w:rsid w:val="00504D1C"/>
    <w:rsid w:val="00521828"/>
    <w:rsid w:val="00580BF0"/>
    <w:rsid w:val="00592672"/>
    <w:rsid w:val="005C2C9E"/>
    <w:rsid w:val="005D2399"/>
    <w:rsid w:val="005E60A0"/>
    <w:rsid w:val="006129E8"/>
    <w:rsid w:val="006168D7"/>
    <w:rsid w:val="0064094C"/>
    <w:rsid w:val="00641DE8"/>
    <w:rsid w:val="00663B56"/>
    <w:rsid w:val="0068635D"/>
    <w:rsid w:val="0071792C"/>
    <w:rsid w:val="0073312F"/>
    <w:rsid w:val="00745C10"/>
    <w:rsid w:val="00754B53"/>
    <w:rsid w:val="00796A02"/>
    <w:rsid w:val="007E10D8"/>
    <w:rsid w:val="007E3A4C"/>
    <w:rsid w:val="007F0C38"/>
    <w:rsid w:val="00844BF9"/>
    <w:rsid w:val="00870A52"/>
    <w:rsid w:val="008738A6"/>
    <w:rsid w:val="00895DD1"/>
    <w:rsid w:val="00897AEC"/>
    <w:rsid w:val="008A7046"/>
    <w:rsid w:val="008B7524"/>
    <w:rsid w:val="008C777D"/>
    <w:rsid w:val="008D70DE"/>
    <w:rsid w:val="008E6F74"/>
    <w:rsid w:val="00927A72"/>
    <w:rsid w:val="00931DC8"/>
    <w:rsid w:val="009652A6"/>
    <w:rsid w:val="009A071E"/>
    <w:rsid w:val="009E4BB9"/>
    <w:rsid w:val="00A17065"/>
    <w:rsid w:val="00A439EC"/>
    <w:rsid w:val="00A5726D"/>
    <w:rsid w:val="00A717FA"/>
    <w:rsid w:val="00A871D4"/>
    <w:rsid w:val="00A9271A"/>
    <w:rsid w:val="00AB1958"/>
    <w:rsid w:val="00AB7863"/>
    <w:rsid w:val="00AC7C18"/>
    <w:rsid w:val="00AE0EE4"/>
    <w:rsid w:val="00B01FB2"/>
    <w:rsid w:val="00B158AE"/>
    <w:rsid w:val="00B16931"/>
    <w:rsid w:val="00B317AA"/>
    <w:rsid w:val="00B3180F"/>
    <w:rsid w:val="00B34770"/>
    <w:rsid w:val="00BB4BCB"/>
    <w:rsid w:val="00BC6AB2"/>
    <w:rsid w:val="00BD3481"/>
    <w:rsid w:val="00BD6304"/>
    <w:rsid w:val="00BD6F86"/>
    <w:rsid w:val="00BF6B72"/>
    <w:rsid w:val="00C00CDA"/>
    <w:rsid w:val="00C575C0"/>
    <w:rsid w:val="00C968AB"/>
    <w:rsid w:val="00CB4470"/>
    <w:rsid w:val="00CD7AF6"/>
    <w:rsid w:val="00D2695F"/>
    <w:rsid w:val="00D322C6"/>
    <w:rsid w:val="00D52308"/>
    <w:rsid w:val="00D646FC"/>
    <w:rsid w:val="00D842FC"/>
    <w:rsid w:val="00D843F7"/>
    <w:rsid w:val="00DB1EC2"/>
    <w:rsid w:val="00DB3945"/>
    <w:rsid w:val="00DD5B22"/>
    <w:rsid w:val="00E0456E"/>
    <w:rsid w:val="00E06810"/>
    <w:rsid w:val="00E401E3"/>
    <w:rsid w:val="00E4643D"/>
    <w:rsid w:val="00E86048"/>
    <w:rsid w:val="00EB1D90"/>
    <w:rsid w:val="00ED64EF"/>
    <w:rsid w:val="00EF5096"/>
    <w:rsid w:val="00F13977"/>
    <w:rsid w:val="00F13FF3"/>
    <w:rsid w:val="00F21CF9"/>
    <w:rsid w:val="00F32F43"/>
    <w:rsid w:val="00F35BB9"/>
    <w:rsid w:val="00F44978"/>
    <w:rsid w:val="00F56B81"/>
    <w:rsid w:val="00F771E9"/>
    <w:rsid w:val="00F86ADA"/>
    <w:rsid w:val="00F91FFC"/>
    <w:rsid w:val="00F96831"/>
    <w:rsid w:val="00FB1FC6"/>
    <w:rsid w:val="00FC4A0B"/>
    <w:rsid w:val="00FD3BA7"/>
    <w:rsid w:val="00FE05E6"/>
    <w:rsid w:val="00FF1C41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56B81"/>
    <w:rPr>
      <w:color w:val="605E5C"/>
      <w:shd w:val="clear" w:color="auto" w:fill="E1DFDD"/>
    </w:rPr>
  </w:style>
  <w:style w:type="paragraph" w:customStyle="1" w:styleId="11">
    <w:name w:val="Обычный1"/>
    <w:rsid w:val="00E06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uk-UA"/>
    </w:rPr>
  </w:style>
  <w:style w:type="paragraph" w:styleId="a9">
    <w:name w:val="No Spacing"/>
    <w:uiPriority w:val="1"/>
    <w:qFormat/>
    <w:rsid w:val="002660C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semiHidden/>
    <w:rsid w:val="004329A8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aa">
    <w:name w:val="Normal (Web)"/>
    <w:basedOn w:val="a"/>
    <w:uiPriority w:val="99"/>
    <w:semiHidden/>
    <w:unhideWhenUsed/>
    <w:rsid w:val="004329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 w:eastAsia="uk-UA"/>
    </w:rPr>
  </w:style>
  <w:style w:type="paragraph" w:customStyle="1" w:styleId="paragraph">
    <w:name w:val="paragraph"/>
    <w:basedOn w:val="a"/>
    <w:rsid w:val="00FF1C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 w:eastAsia="uk-UA"/>
    </w:rPr>
  </w:style>
  <w:style w:type="character" w:styleId="ab">
    <w:name w:val="Strong"/>
    <w:basedOn w:val="a0"/>
    <w:uiPriority w:val="22"/>
    <w:qFormat/>
    <w:rsid w:val="001F0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56B81"/>
    <w:rPr>
      <w:color w:val="605E5C"/>
      <w:shd w:val="clear" w:color="auto" w:fill="E1DFDD"/>
    </w:rPr>
  </w:style>
  <w:style w:type="paragraph" w:customStyle="1" w:styleId="11">
    <w:name w:val="Обычный1"/>
    <w:rsid w:val="00E06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uk-UA"/>
    </w:rPr>
  </w:style>
  <w:style w:type="paragraph" w:styleId="a9">
    <w:name w:val="No Spacing"/>
    <w:uiPriority w:val="1"/>
    <w:qFormat/>
    <w:rsid w:val="002660C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semiHidden/>
    <w:rsid w:val="004329A8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aa">
    <w:name w:val="Normal (Web)"/>
    <w:basedOn w:val="a"/>
    <w:uiPriority w:val="99"/>
    <w:semiHidden/>
    <w:unhideWhenUsed/>
    <w:rsid w:val="004329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 w:eastAsia="uk-UA"/>
    </w:rPr>
  </w:style>
  <w:style w:type="paragraph" w:customStyle="1" w:styleId="paragraph">
    <w:name w:val="paragraph"/>
    <w:basedOn w:val="a"/>
    <w:rsid w:val="00FF1C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 w:eastAsia="uk-UA"/>
    </w:rPr>
  </w:style>
  <w:style w:type="character" w:styleId="ab">
    <w:name w:val="Strong"/>
    <w:basedOn w:val="a0"/>
    <w:uiPriority w:val="22"/>
    <w:qFormat/>
    <w:rsid w:val="001F0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shchenko29127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5585</Words>
  <Characters>3185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Rostius</dc:creator>
  <cp:lastModifiedBy>Admin</cp:lastModifiedBy>
  <cp:revision>4</cp:revision>
  <dcterms:created xsi:type="dcterms:W3CDTF">2024-07-17T12:49:00Z</dcterms:created>
  <dcterms:modified xsi:type="dcterms:W3CDTF">2024-07-18T09:54:00Z</dcterms:modified>
</cp:coreProperties>
</file>